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B6E85">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2510681</w:t>
      </w:r>
    </w:p>
    <w:p w14:paraId="2D7563AE">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5F882824">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6A891A1">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D8A294D">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14:paraId="575157E9">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7.23.3.2</w:t>
      </w:r>
    </w:p>
    <w:p w14:paraId="4C3A5E90">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14:paraId="635FC9DC">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0C3C241">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around the SSB adaptation, good progress were achieved and summarized in [1]. In this paper, we provide our further views on the suspending issues around the adaptation of common signal/channel transmission.</w:t>
      </w:r>
    </w:p>
    <w:p w14:paraId="4ADAF52D">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DF98E0F">
      <w:pPr>
        <w:pStyle w:val="9"/>
        <w:numPr>
          <w:ilvl w:val="0"/>
          <w:numId w:val="0"/>
        </w:numPr>
        <w:bidi w:val="0"/>
        <w:ind w:leftChars="0"/>
        <w:rPr>
          <w:rFonts w:hint="eastAsia"/>
          <w:lang w:val="en-US" w:eastAsia="zh-CN"/>
        </w:rPr>
      </w:pPr>
      <w:r>
        <w:rPr>
          <w:rFonts w:hint="eastAsia"/>
          <w:lang w:val="en-US" w:eastAsia="zh-CN"/>
        </w:rPr>
        <w:t>Similar as OD-SSB, how to handle the colliding between MG and SMTC should also be determined for SSB adaptation. In last meeting, this issue was raised and the following is captured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834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1BBEDC9">
            <w:pPr>
              <w:rPr>
                <w:b/>
                <w:u w:val="single"/>
                <w:lang w:eastAsia="ko-KR"/>
              </w:rPr>
            </w:pPr>
            <w:r>
              <w:rPr>
                <w:b/>
                <w:u w:val="single"/>
                <w:lang w:eastAsia="ko-KR"/>
              </w:rPr>
              <w:t xml:space="preserve">Issue 1-3-4: Colliding with MG </w:t>
            </w:r>
          </w:p>
          <w:p w14:paraId="4231CFB6">
            <w:pPr>
              <w:pStyle w:val="29"/>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B68345">
            <w:pPr>
              <w:pStyle w:val="29"/>
              <w:numPr>
                <w:ilvl w:val="1"/>
                <w:numId w:val="5"/>
              </w:numPr>
              <w:ind w:left="1656" w:firstLineChars="0"/>
              <w:rPr>
                <w:rFonts w:hint="default"/>
                <w:vertAlign w:val="baseline"/>
                <w:lang w:val="en-US" w:eastAsia="zh-CN"/>
              </w:rPr>
            </w:pPr>
            <w:r>
              <w:rPr>
                <w:szCs w:val="24"/>
                <w:lang w:eastAsia="zh-CN"/>
              </w:rPr>
              <w:t xml:space="preserve">Option 1: If the SMTC occasion of the selected additional SMTC configuration collides with MG occasion, the UE is allowed to skip measurements in the overlapping SMTC occasion of the serving SCell. </w:t>
            </w:r>
          </w:p>
        </w:tc>
      </w:tr>
    </w:tbl>
    <w:p w14:paraId="7EC1266E">
      <w:pPr>
        <w:pStyle w:val="9"/>
        <w:numPr>
          <w:ilvl w:val="0"/>
          <w:numId w:val="0"/>
        </w:numPr>
        <w:bidi w:val="0"/>
        <w:ind w:leftChars="0"/>
        <w:rPr>
          <w:rFonts w:hint="eastAsia"/>
          <w:lang w:val="en-US" w:eastAsia="zh-CN"/>
        </w:rPr>
      </w:pPr>
      <w:r>
        <w:rPr>
          <w:rFonts w:hint="eastAsia"/>
          <w:lang w:val="en-US" w:eastAsia="zh-CN"/>
        </w:rPr>
        <w:t>We believe the above Option 1 provides solution aligned with legacy, i.e. the MG occasion is prioritized over the SMTC occasion used for measurement without gap when partial overlapping happens between MG and SMTC. But for fully overlapping, UE has to perform measurement on the SMTC occasion within MG occasion. It is straightforward.</w:t>
      </w:r>
    </w:p>
    <w:p w14:paraId="0C5B492A">
      <w:pPr>
        <w:pStyle w:val="9"/>
        <w:numPr>
          <w:ilvl w:val="0"/>
          <w:numId w:val="0"/>
        </w:numPr>
        <w:bidi w:val="0"/>
        <w:ind w:leftChars="0"/>
        <w:rPr>
          <w:rFonts w:hint="eastAsia"/>
          <w:b/>
          <w:bCs/>
          <w:lang w:val="en-US" w:eastAsia="zh-CN"/>
        </w:rPr>
      </w:pPr>
      <w:r>
        <w:rPr>
          <w:rFonts w:hint="eastAsia"/>
          <w:b/>
          <w:bCs/>
          <w:lang w:val="en-US" w:eastAsia="zh-CN"/>
        </w:rPr>
        <w:t>Proposal 1: After SSB adaptation, for the SMTC occasion of the selected additional SMTC configuration collides with MG occasion, follow legacy collision handling, i.e.</w:t>
      </w:r>
    </w:p>
    <w:p w14:paraId="3E67D7CF">
      <w:pPr>
        <w:pStyle w:val="9"/>
        <w:numPr>
          <w:ilvl w:val="0"/>
          <w:numId w:val="6"/>
        </w:numPr>
        <w:bidi w:val="0"/>
        <w:ind w:left="420" w:leftChars="0" w:hanging="420" w:firstLineChars="0"/>
        <w:rPr>
          <w:rFonts w:hint="default"/>
          <w:b/>
          <w:bCs/>
          <w:lang w:val="en-US" w:eastAsia="zh-CN"/>
        </w:rPr>
      </w:pPr>
      <w:r>
        <w:rPr>
          <w:rFonts w:hint="eastAsia"/>
          <w:b/>
          <w:bCs/>
          <w:lang w:val="en-US" w:eastAsia="zh-CN"/>
        </w:rPr>
        <w:t>For partial overlapping between SMTC and MG, the SMTC occasion is deprioritized by MG occasion, UE only perform measurement outside MG;</w:t>
      </w:r>
    </w:p>
    <w:p w14:paraId="5A7FA176">
      <w:pPr>
        <w:pStyle w:val="9"/>
        <w:numPr>
          <w:ilvl w:val="0"/>
          <w:numId w:val="6"/>
        </w:numPr>
        <w:bidi w:val="0"/>
        <w:ind w:left="420" w:leftChars="0" w:hanging="420" w:firstLineChars="0"/>
        <w:rPr>
          <w:rFonts w:hint="default"/>
          <w:b/>
          <w:bCs/>
          <w:lang w:val="en-US" w:eastAsia="zh-CN"/>
        </w:rPr>
      </w:pPr>
      <w:r>
        <w:rPr>
          <w:rFonts w:hint="eastAsia"/>
          <w:b/>
          <w:bCs/>
          <w:lang w:val="en-US" w:eastAsia="zh-CN"/>
        </w:rPr>
        <w:t>For fully overlapping between SMTC and MG, UE has to perform measurement within MG.</w:t>
      </w:r>
    </w:p>
    <w:p w14:paraId="6759F49A">
      <w:pPr>
        <w:pStyle w:val="9"/>
        <w:numPr>
          <w:ilvl w:val="0"/>
          <w:numId w:val="0"/>
        </w:numPr>
        <w:bidi w:val="0"/>
        <w:ind w:leftChars="0"/>
        <w:rPr>
          <w:rFonts w:hint="eastAsia"/>
          <w:lang w:val="en-US" w:eastAsia="zh-CN"/>
        </w:rPr>
      </w:pPr>
      <w:r>
        <w:rPr>
          <w:rFonts w:hint="eastAsia"/>
          <w:lang w:val="en-US" w:eastAsia="zh-CN"/>
        </w:rPr>
        <w:t>Regarding the applicable SCell activation requirements for SSB adaptation, the following options were provided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EAD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1104B23">
            <w:pPr>
              <w:spacing w:after="120"/>
              <w:rPr>
                <w:b/>
                <w:szCs w:val="24"/>
                <w:u w:val="single"/>
                <w:lang w:eastAsia="zh-CN"/>
              </w:rPr>
            </w:pPr>
            <w:r>
              <w:rPr>
                <w:b/>
                <w:szCs w:val="24"/>
                <w:u w:val="single"/>
                <w:lang w:eastAsia="zh-CN"/>
              </w:rPr>
              <w:t>Issue 1-4-2: SCell activation requirement for SSB adaptation – applicable SCell activation requirements</w:t>
            </w:r>
          </w:p>
          <w:p w14:paraId="0D9B76CF">
            <w:pPr>
              <w:pStyle w:val="29"/>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093BEB">
            <w:pPr>
              <w:numPr>
                <w:ilvl w:val="1"/>
                <w:numId w:val="5"/>
              </w:numPr>
              <w:spacing w:after="120"/>
              <w:rPr>
                <w:rFonts w:ascii="Calibri" w:hAnsi="Calibri" w:eastAsia="宋体" w:cs="Times New Roman"/>
                <w:kern w:val="2"/>
                <w:sz w:val="21"/>
                <w:szCs w:val="24"/>
                <w:lang w:val="en-US" w:eastAsia="zh-CN" w:bidi="ar-SA"/>
              </w:rPr>
            </w:pPr>
            <w:r>
              <w:rPr>
                <w:rFonts w:ascii="Calibri" w:hAnsi="Calibri" w:eastAsia="宋体" w:cs="Times New Roman"/>
                <w:kern w:val="2"/>
                <w:sz w:val="21"/>
                <w:szCs w:val="24"/>
                <w:lang w:val="en-US" w:eastAsia="zh-CN" w:bidi="ar-SA"/>
              </w:rPr>
              <w:t xml:space="preserve">Option 1: R18 Scell activation with L3 reporting </w:t>
            </w:r>
          </w:p>
          <w:p w14:paraId="23DF4924">
            <w:pPr>
              <w:numPr>
                <w:ilvl w:val="1"/>
                <w:numId w:val="5"/>
              </w:numPr>
              <w:spacing w:after="120"/>
              <w:rPr>
                <w:rFonts w:hint="default"/>
                <w:vertAlign w:val="baseline"/>
                <w:lang w:val="en-US" w:eastAsia="zh-CN"/>
              </w:rPr>
            </w:pPr>
            <w:r>
              <w:rPr>
                <w:rFonts w:ascii="Calibri" w:hAnsi="Calibri" w:eastAsia="宋体" w:cs="Times New Roman"/>
                <w:kern w:val="2"/>
                <w:sz w:val="21"/>
                <w:szCs w:val="24"/>
                <w:lang w:val="en-US" w:eastAsia="zh-CN" w:bidi="ar-SA"/>
              </w:rPr>
              <w:t>Option 2: multiple SCells activation scenario with SSB adaptation</w:t>
            </w:r>
          </w:p>
        </w:tc>
      </w:tr>
    </w:tbl>
    <w:p w14:paraId="49CEAE5E">
      <w:pPr>
        <w:pStyle w:val="9"/>
        <w:numPr>
          <w:ilvl w:val="0"/>
          <w:numId w:val="0"/>
        </w:numPr>
        <w:bidi w:val="0"/>
        <w:ind w:leftChars="0"/>
        <w:rPr>
          <w:rFonts w:hint="eastAsia"/>
          <w:lang w:val="en-US" w:eastAsia="zh-CN"/>
        </w:rPr>
      </w:pPr>
      <w:r>
        <w:rPr>
          <w:rFonts w:hint="eastAsia"/>
          <w:lang w:val="en-US" w:eastAsia="zh-CN"/>
        </w:rPr>
        <w:t>Since only the periodicity of SSB/SMTC is allowed to adapt, the R18 SCell activation with L3 reporting is also a candidate. For the multiple SCell activation scenario, whether all the to-be-activated SCells happens the SCell adaptation, it is up to NW decision. So for the sake of simplify, the multiple SCell activation scenario could be excluded. Such decision of applicable scenarios is aligned with what we decided for OD-SSB as well.</w:t>
      </w:r>
    </w:p>
    <w:p w14:paraId="341519B9">
      <w:pPr>
        <w:pStyle w:val="9"/>
        <w:numPr>
          <w:ilvl w:val="0"/>
          <w:numId w:val="0"/>
        </w:numPr>
        <w:bidi w:val="0"/>
        <w:ind w:leftChars="0"/>
        <w:rPr>
          <w:rFonts w:hint="default"/>
          <w:lang w:val="en-US" w:eastAsia="zh-CN"/>
        </w:rPr>
      </w:pPr>
      <w:r>
        <w:rPr>
          <w:rFonts w:hint="eastAsia"/>
          <w:b/>
          <w:bCs/>
          <w:lang w:val="en-US" w:eastAsia="zh-CN"/>
        </w:rPr>
        <w:t xml:space="preserve">Proposal 2: Besides the basic SCell activation, the applicable SCell activation requirements also include R18 SCell activation with L3 reporting. </w:t>
      </w:r>
    </w:p>
    <w:p w14:paraId="156663C1">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14423C7D">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4A2FAB9E">
      <w:pPr>
        <w:pStyle w:val="9"/>
        <w:numPr>
          <w:ilvl w:val="0"/>
          <w:numId w:val="0"/>
        </w:numPr>
        <w:bidi w:val="0"/>
        <w:ind w:leftChars="0"/>
        <w:rPr>
          <w:rFonts w:hint="eastAsia"/>
          <w:b/>
          <w:bCs/>
          <w:lang w:val="en-US" w:eastAsia="zh-CN"/>
        </w:rPr>
      </w:pPr>
      <w:r>
        <w:rPr>
          <w:rFonts w:hint="eastAsia"/>
          <w:b/>
          <w:bCs/>
          <w:lang w:val="en-US" w:eastAsia="zh-CN"/>
        </w:rPr>
        <w:t>Proposal 1: After SSB adaptation, for the SMTC occasion of the selected additional SMTC configuration collides with MG occasion, follow legacy collision handling, i.e.</w:t>
      </w:r>
    </w:p>
    <w:p w14:paraId="5CA6110D">
      <w:pPr>
        <w:pStyle w:val="9"/>
        <w:numPr>
          <w:ilvl w:val="0"/>
          <w:numId w:val="6"/>
        </w:numPr>
        <w:bidi w:val="0"/>
        <w:ind w:left="420" w:leftChars="0" w:hanging="420" w:firstLineChars="0"/>
        <w:rPr>
          <w:rFonts w:hint="default"/>
          <w:b/>
          <w:bCs/>
          <w:lang w:val="en-US" w:eastAsia="zh-CN"/>
        </w:rPr>
      </w:pPr>
      <w:r>
        <w:rPr>
          <w:rFonts w:hint="eastAsia"/>
          <w:b/>
          <w:bCs/>
          <w:lang w:val="en-US" w:eastAsia="zh-CN"/>
        </w:rPr>
        <w:t>For partial overlapping between SMTC and MG, the SMTC occasion is deprioritized by MG occasion, UE only perform measurement outside MG;</w:t>
      </w:r>
    </w:p>
    <w:p w14:paraId="5B8641CD">
      <w:pPr>
        <w:pStyle w:val="9"/>
        <w:numPr>
          <w:ilvl w:val="0"/>
          <w:numId w:val="6"/>
        </w:numPr>
        <w:bidi w:val="0"/>
        <w:ind w:left="420" w:leftChars="0" w:hanging="420" w:firstLineChars="0"/>
        <w:rPr>
          <w:rFonts w:hint="default"/>
          <w:b/>
          <w:bCs/>
          <w:lang w:val="en-US" w:eastAsia="zh-CN"/>
        </w:rPr>
      </w:pPr>
      <w:r>
        <w:rPr>
          <w:rFonts w:hint="eastAsia"/>
          <w:b/>
          <w:bCs/>
          <w:lang w:val="en-US" w:eastAsia="zh-CN"/>
        </w:rPr>
        <w:t>For fully overlapping between SMTC and MG, UE has to perform measurement within MG.</w:t>
      </w:r>
    </w:p>
    <w:p w14:paraId="0B16DE63">
      <w:pPr>
        <w:pStyle w:val="9"/>
        <w:numPr>
          <w:ilvl w:val="0"/>
          <w:numId w:val="0"/>
        </w:numPr>
        <w:bidi w:val="0"/>
        <w:ind w:leftChars="0"/>
        <w:rPr>
          <w:rFonts w:hint="eastAsia"/>
          <w:b/>
          <w:bCs/>
          <w:lang w:val="en-US" w:eastAsia="zh-CN"/>
        </w:rPr>
      </w:pPr>
      <w:r>
        <w:rPr>
          <w:rFonts w:hint="eastAsia"/>
          <w:b/>
          <w:bCs/>
          <w:lang w:val="en-US" w:eastAsia="zh-CN"/>
        </w:rPr>
        <w:t xml:space="preserve">Proposal 2: Besides the basic SCell activation, the applicable SCell activation requirements also include R18 SCell activation with L3 reporting. </w:t>
      </w:r>
    </w:p>
    <w:p w14:paraId="3B458B1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264735F">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R4-2508277 WF on Netw_Energy_NR_enh_part 1, Ericsson, RAN4#115.</w:t>
      </w:r>
    </w:p>
    <w:p w14:paraId="4B1D36C8">
      <w:pPr>
        <w:pStyle w:val="10"/>
        <w:numPr>
          <w:ilvl w:val="0"/>
          <w:numId w:val="0"/>
        </w:numPr>
        <w:ind w:leftChars="0"/>
        <w:rPr>
          <w:rFonts w:hint="eastAsia"/>
          <w:color w:val="auto"/>
          <w:sz w:val="20"/>
          <w:szCs w:val="20"/>
          <w:highlight w:val="none"/>
          <w:lang w:val="en-US" w:eastAsia="zh-CN"/>
        </w:rPr>
      </w:pPr>
    </w:p>
    <w:p w14:paraId="100870F1">
      <w:pPr>
        <w:pStyle w:val="10"/>
        <w:numPr>
          <w:ilvl w:val="0"/>
          <w:numId w:val="0"/>
        </w:numPr>
        <w:ind w:leftChars="0"/>
        <w:rPr>
          <w:rFonts w:hint="eastAsia"/>
          <w:color w:val="auto"/>
          <w:sz w:val="20"/>
          <w:szCs w:val="20"/>
          <w:highlight w:val="none"/>
          <w:lang w:val="en-US" w:eastAsia="zh-CN"/>
        </w:rPr>
      </w:pPr>
    </w:p>
    <w:p w14:paraId="0C26A617">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F1B10">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28BA3"/>
    <w:multiLevelType w:val="singleLevel"/>
    <w:tmpl w:val="C9C28BA3"/>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505F73"/>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E30DB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5B7FC5"/>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66355"/>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4A7EEB"/>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42D18"/>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930438"/>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6185D"/>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A50C45"/>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92E00"/>
    <w:rsid w:val="2F9A6023"/>
    <w:rsid w:val="2F9F0267"/>
    <w:rsid w:val="2FB7446E"/>
    <w:rsid w:val="2FC1649F"/>
    <w:rsid w:val="2FFE4655"/>
    <w:rsid w:val="30054CD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36F5C"/>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5F7C1B"/>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615A4"/>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3B7527"/>
    <w:rsid w:val="74444FD6"/>
    <w:rsid w:val="744F5A05"/>
    <w:rsid w:val="74716CB1"/>
    <w:rsid w:val="748603EC"/>
    <w:rsid w:val="74A46A79"/>
    <w:rsid w:val="74AE507D"/>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062D9"/>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893AA7"/>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1176E"/>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67">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2025-08-15T09:18:26Z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